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İSTIHKAK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İstihkak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İSTİHKAK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İcra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(Üçüncü Kişi) : [Ad Soyad/Unvan]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(Alacaklı) : [Ad Soyad/Unvan]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[Borçlu] : [Ad Soyad]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İCRA DOSYASI : [İL] İcra Müdürlüğü — [ESAS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Haczedilen mal hakkında istihkak iddiası.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[ESAS NO] sayılı takip dosyasında; [HACİZ TARİHİ] tarihinde [HACZEDİLEN MAL: örn. [PLAKA] plakalı araç / makine / eşya] haczedilmiştir.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Haczedilen mal; borçluya değil, DAVACIYA aittir: [MÜLKİYETİN KAYNAĞI: örn. davacı bu malı [TARİH] tarihinde satın almış, bedelini ödemiş ve zilyetliğini taşımaktadır (sözleşme/fatura/dekont ekte)].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Davacı; mal üzerindeki hakkını icra dairesine bildirmiş, ancak mal kendisine teslim edilmemiştir.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Haczin kaldırılması ve malın davacıya teslimi gerekmektedir.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İİK madde 96-99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Satış sözleşmesi/fatura, ödeme belgeleri, haciz tutanağı, tanık.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Haczedilen malın DAVACIYA AİT OLDUĞUNUN TESPİTİNE ve haczin KALDIRILMASINA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