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İSTIHKAK DAVASı DILEKçESI NASıL YAZıLıR? (İİK 96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İstihkak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İSTİHKAK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(Üçüncü Kişi)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(Alacaklı) : [Ad Soyad/Unvan]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[Borçlu] : [Ad Soyad]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İCRA DOSYASI : [İL] İcra Müdürlüğü — [ESAS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Haczedilen mal hakkında istihkak iddiası.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[ESAS NO] sayılı takip dosyasında; [HACİZ TARİHİ] tarihinde [HACZEDİLEN MAL: örn. [PLAKA] plakalı araç / makine / eşya] haczedilmiştir.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Haczedilen mal; borçluya değil, DAVACIYA aittir: [MÜLKİYETİN KAYNAĞI: örn. davacı bu malı [TARİH] tarihinde satın almış, bedelini ödemiş ve zilyetliğini taşımaktadır (sözleşme/fatura/dekont ekte)].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Davacı; mal üzerindeki hakkını icra dairesine bildirmiş, ancak mal kendisine teslim edilmemiştir.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Haczin kaldırılması ve malın davacıya teslimi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96-99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Satış sözleşmesi/fatura, ödeme belgeleri, haciz tutanağı, tanık.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Haczedilen malın DAVACIYA AİT OLDUĞUNUN TESPİTİNE ve haczin KALDIRILMASINA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