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İşSIZLIK ÖDENEğI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İşsizlik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İŞSİZLİK ÖDENEĞİ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İŞKUR [ŞUBE]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[İŞVEREN ADI]'ndaki işimden [İŞTEN AYRILIŞ TARİHİ] tarihinde [AYRILMA NEDENİ: işverence fesih / haklı nedenle fesih] sonucu ayrılmış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4447 sayılı Kanun uyarınca işsizlik ödeneğinden yararlanmak için başvuruyorum. Sigortalılık koşullarımın (120 gün kesintisiz prim, son 3 yılda 600 gün prim) değerlendirilerek ödeneğimin bağlanmasını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işten ayrılış bildirgesi.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