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İşSIZLIK ÖDENEğI BAşVURU DILEKçESI NASıL YAZıLıR? (İŞKUR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İşsizlik Ödeneği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İŞSİZLİK ÖDENEĞİ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İŞKUR [ŞUBE]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Telefon: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[İŞVEREN ADI]'ndaki işimden [İŞTEN AYRILIŞ TARİHİ] tarihinde [AYRILMA NEDENİ: işverence fesih / haklı nedenle fesih] sonucu ayrılmış bulunmaktayım.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4447 sayılı Kanun uyarınca işsizlik ödeneğinden yararlanmak için başvuruyorum. Sigortalılık koşullarımın (120 gün kesintisiz prim, son 3 yılda 600 gün prim) değerlendirilerek ödeneğimin bağlanmasını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Kimlik fotokopisi, işten ayrılış bildirgesi.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