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2. ÖRNEK: İşE BAşLAMA BAşVURUSU (KARAR SONRASı)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İşe Başlama Başvurusu (Karar Sonrası)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İŞE BAŞLAMA BAŞVURUSU (İŞE İADE KARARI SONRASI)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İnsan Kaynakları / Yönetim Kurulu'na,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[MAHKEME ADI]'nin [ESAS NO] esas, [KARAR NO] karar sayılı ve [KARAR TARİHİ] tarihli ilamıyla işe iademe karar verilmiştir. Karar [KESİNLEŞME TARİHİ] tarihinde kesinleşmiştir.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4857 sayılı İş Kanunu'nun 21. maddesi uyarınca, kararın kesinleşmesinden itibaren yasal süresi içinde işe başlamak üzere başvuruyorum. Görevime başlatılmamı; aksi takdirde kıdem ve ihbar tazminatı ile işe başlatmama tazminatının tarafıma ödenmesini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Ek: Mahkeme ilamı.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