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İşE BAşLAMA BAşVURUSU (KARAR SONRASı)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İşe Başlama Başvurusu (Karar Sonrası)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İŞE BAŞLAMA BAŞVURUSU (İŞE İADE KARARI SONRASI)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/ Yönetim Kurulu'na,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[MAHKEME ADI]'nin [ESAS NO] esas, [KARAR NO] karar sayılı ve [KARAR TARİHİ] tarihli ilamıyla işe iademe karar verilmiştir. Karar [KESİNLEŞME TARİHİ] tarihinde kesinleşmiştir.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4857 sayılı İş Kanunu'nun 21. maddesi uyarınca, kararın kesinleşmesinden itibaren yasal süresi içinde işe başlamak üzere başvuruyorum. Görevime başlatılmamı; aksi takdirde kıdem ve ihbar tazminatı ile işe başlatmama tazminatının tarafıma ödenmesini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Ek: Mahkeme ilamı.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