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ARABULUCULUK BAşVURUSU (İşE İADE)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Arabuluculuk Başvurusu (İşe İade)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ARABULUCULUK BAŞVURUSU (İŞE İADE TALEBİ)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Arabuluculuk Bürosu'na,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[İşveren Unvanı] — Adres: [İşyeri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 sözleşmemi[n] geçersiz feshi nedeniyle işe iade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 TARİHİ] tarihinden itibaren [GÖREV UNVANI] olarak çalışmaktaydım; kıdemim [SÜRE]'dir ve işyerinde [İŞÇİ SAYISI: 30+] işçi çalışmaktadır.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 sözleşmem [FESİH TARİHİ] tarihinde [FESİH GEREKÇESİ: örn. performans düşüklüğü / deneme / işletmesel neden] ileri sürülerek feshedilmiştir.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Fesih; geçerli ve yazılı bir sebebe dayanmadığından 4857 sayılı İş Kanunu'nun 17-21. maddeleri uyarınca geçersizdir. İşe iademi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Arabuluculuk görüşmelerinde işe iade ve işe başlatmama hâlinde ödenecek tazminat konularında anlaşma sağlanmasını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