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İşçI ÜCRET ALACAğı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İşçi Ücret Alacağı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 ÜCRET ALACAĞI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(İşçi)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(İşveren) : [ŞİRKET ADI / Ad Soyad] — 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(alacak kalemleri aşağıda)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Ödenmeyen ücret ve işçilik alacaklarının tahsili.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Davacı; [İŞE GİRİŞ] - [İŞTEN AYRILIŞ] tarihleri arasında davalı işyerinde [UNVAN] olarak çalışmıştır.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 işveren; aşağıdaki alacakları ödememiştir: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Aylık ücret alacağı: [TUTAR] TL ([AY] ay)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Fazla çalışma ücreti: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Hafta tatili / genel tatil ücreti: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[Diğer: ikramiye, yol-yemek vb.]: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Alacağın ödenmesi için [İHTAR TARİHİ] tarihinde ihtar çekilmiş; [arabuluculuk başvurusu yapılmış, anlaşma sağlanamamıştır (son tutanak ekte)].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Ücreti ödenmeyen davacı, 4857/32 uyarınca iş görme borcunu ifadan kaçınmıştır.]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4857 sayılı İş Kanunu madde 32 ve ilgili maddeler; 6100 sayılı HMK; 7036 sayılı İş Mahkemeleri Kanunu.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Arabuluculuk son tutanağı, bordrolar, banka kayıtları, puantaj,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[TUTAR] TL alacağın, temerrüt tarihinden itibaren işleyecek yasal faiziyle birlikte DAVALIDAN TAHSİLİNE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