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 KAZASı TAZMINAT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Kazası Tazminat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KAZASI TAZMİNAT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[İşçi / Ölen işçinin yakını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(İşveren) : [ŞİRKET ADI] — 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maddi + [TUTAR] TL manevi (artırım/ıslah hakkı saklıdır)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İş kazasından kaynaklanan maddi ve manevi tazminat.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[İŞE GİRİŞ] tarihinden itibaren davalı işyerinde [UNVAN] olarak çalışmaktaydı.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[KAZA TARİHİ] tarihinde; [KAZANIN OLUŞUMU: iş güvenliği önlemlerinin alınmaması / makine koruyucusunun bulunmaması / eğitimsizlik vb.] nedeniyle iş kazası meydana gelmiş; davacı [YARALANMIŞ / %... ORANINDA SÜREKLİ İŞ GÖREMEZ HALE GELMİŞ / VEFAT ETMİŞTİR].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Kazada davalı işverenin [%ORAN] oranında KUSURU bulunmaktadır (SGK kusur raporu/ [tensip] bilirkişi).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 [SGK'dan bağlanan gelir düşüldükten sonra kalan] maddi zararı ile manevi zararı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Arabuluculuk süreci sonuçsuz kalmıştır (son tutanak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6331 sayılı İSG Kanunu; TBK madde 49-58; 7036 sayılı Kanun.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Kaza tutanakları, SGK kayıtları, sağlık/maluliyet raporları, kusur raporu, bordrolar,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üzere; [TUTAR] TL maddi ve [TUTAR] TL manevi tazminatın, olay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