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İLAMLı İCRA TAKIP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İlamlı İcra Takip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İLAMLI İCRA TAKİP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İcra Dairesi'ne,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ALACAKLI : [Ad Soyad/Unvan]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 : [Ad Soyad/Unvan]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TAKİP KONUSU : İlamlı icra takibi (İİK madde 32).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İLAM BİLGİLERİ : [MAHKEME] — [ESAS NO] — [KARAR TARİHİ] — Kesinleşme: 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İlamda hükmedilen asıl alacak: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İlamda hükmedilen faiz ve yargılama giderleri: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Takip tarihinden itibaren işleyecek [YASAL/İLAMDAKİ] faiz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Takip giderleri ve vekalet ücreti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[MAHKEME]'nin [ESAS NO] esas sayılı kararı ile borçlunun tarafıma [TUTAR] TL borçlu olduğuna hükmedilmiştir (ilamın onaylı örneği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Karar, [KESİNLEŞME TARİHİ] tarihinde kesinleşmiştir.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Borçlu, ihtara rağmen borcunu ödememiştir.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Borçlu hakkında İCRA EMRİ düzenlenmesine ve takibin yasal sonuçlarının uygulanmasına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İlamın onaylı örneği.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