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İHTIYATI HACIZ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İhtiyati Haciz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İHTİYATİ HACİZ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Ticaret/Hukuk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: [Ad Soyad/Unvan] — T.C. No/Vergi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Alacağın teminat altına alınması için borçlunun malları üzerine İHTİYATİ HACİZ konulması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Borçlu; [ALACAĞIN KAYNAĞI: sözleşme/fatura/senet] gereği tarafıma [TUTAR] TL borçlu olup borç MUACCELDİR (dayanak 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 vadesi gelmemiş ise:] Borçlunun mallarını kaçırmakta olduğu veya durumunun kötüleştiği [GÜÇLÜ BELİRTİLER: tapu devirleri, mal satışı, adres değişikliği vb.] ile anlaşılmaktadır.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İhtiyati haciz; alacağın tahsilini güvence altına almak için zorunludur.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[Gerekli teminatı göstermeye hazır olduğumu bildiririm.]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İİK madde 257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Sözleşme, fatura, cari hesap, yazışmalar, [varsa] kaçırma belirtilerine ilişkin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Borçlunun menkul, gayrimenkul ve üçüncü kişilerdeki hak ve alacakları üzerine, borca yeter miktarda İHTİYATİ HACİZ KONULMASINA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