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İHTIYATI HACIZ TALEP DILEKçESI NASıL YAZıLıR? (İİK 257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İhtiyati Haciz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İHTİYATİ HACİZ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Ticaret/Hukuk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ALACAKLI : [Ad Soyad/Unvan] — T.C. No/Vergi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BORÇLU : [Ad Soyad/Unvan] — T.C. No/Vergi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Alacağın teminat altına alınması için borçlunun malları üzerine İHTİYATİ HACİZ konulması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Borçlu; [ALACAĞIN KAYNAĞI: sözleşme/fatura/senet] gereği tarafıma [TUTAR] TL borçlu olup borç MUACCELDİR (dayanak belgeler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[Varsa vadesi gelmemiş ise:] Borçlunun mallarını kaçırmakta olduğu veya durumunun kötüleştiği [GÜÇLÜ BELİRTİLER: tapu devirleri, mal satışı, adres değişikliği vb.] ile anlaşılmaktadır.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İhtiyati haciz; alacağın tahsilini güvence altına almak için zorunludur.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[Gerekli teminatı göstermeye hazır olduğumu bildiririm.]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İİK madde 257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Sözleşme, fatura, cari hesap, yazışmalar, [varsa] kaçırma belirtilerine ilişkin belgeler.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Borçlunun menkul, gayrimenkul ve üçüncü kişilerdeki hak ve alacakları üzerine, borca yeter miktarda İHTİYATİ HACİZ KONULMASINA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ALACAKLI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