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AYıPLı MAL BILDIRIMI İHTAR NAMESI (SATıCıYA)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Ayıplı Mal Bildirimi İhtar Namesi (Satıcıya)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 EDEN: [AD SOYAD] — T.C. No: [T.C.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MUHATAP: [SATICI / TİCARET UNVANI] — 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[TARİH] tarihli [FATURA NO] sayılı satışta ayıplı mal bildirimi ve seçimlik hakların kullanılması.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[TARİH] tarihinde tarafınızdan [ÜRÜN ADI, MARKA, MODEL, SERİ NO] satın alınmıştır. Bedeli [TUTAR] TL olarak ödenmiştir.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Ürün, teslimden sonra [SÜRE] içinde [AYIP TANIMI: çalışmama, kırık, beklenen performansı göstermeme] arızası göstermiştir. Ayıp, olağan kullanımdan kaynaklanmamaktadır.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Durum, [BİLDİRİM TARİHİ] tarihinde tarafınıza iletilmiş; ancak [YAPILAN / YAPILMAYAN İŞLEM] neticesinde sonuç alınamamıştır.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TALEP: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6502 sayılı Tüketicinin Korunması Hakkında Kanun'un 11. maddesi uyarınca seçimlik haklarımızdan [ÜCRET İADESİ / ÜCRETSİZ ONARIM / DEĞİŞİM] talep etmekteyiz. Talebimizin işbu ihtarnamenin tebliğinden itibaren [15] gün içinde yerine getirilmesini; aksi hâlde Tüketici Hakem Heyeti'ne ve yasal yollara başvurulacağını ihtar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 Eden: [AD SOYAD] — 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