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İDARI PARA CEZASıNA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İdari Para Cezasına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İDARİ PARA CEZASINA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Ceza Hakimliği'ne,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CEZAYI KESEN : [KURUM/BELEDİYE] — Tutanak/Karar No: [...] —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[TUTAR] TL tutarındaki idari para cezasına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tarafıma [CEZA TÜRÜ VE GEREKÇESİ: örn. işyeri denetiminde ... nedeniyle] idari para cezası kesilmiştir (tutanak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GEREKÇESİ: örn. Cezanın dayandığı tespit eksik ve hatalıdır / olayda kast veya ihmal bulunmamaktadır / ceza miktarı hatalı hesaplanmıştır / cezayı kesen kurum yetkisizdir].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Ceza; 5326 sayılı Kabahatler Kanunu'na aykırı olarak düzenlenmiştir.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5326 sayılı Kabahatler Kanunu madde 27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Ceza tutanağı, kamera kaydı, fotoğraflar, tanık, diğer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İdari para cezasının KALDIRILMASINA, [varsa] aksi hâlde İNDİRİLMESİNE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Ceza tutanağı/kararı, kimlik fotokopisi,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