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İDARI PARA CEZASıNA İTIRAZ DILEKçESI NASıL YAZıLıR? (KABAHATLER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İdari Para Cezasına İtiraz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İDARİ PARA CEZASINA İTİRAZ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Sulh Ceza Hakimliği'ne,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CEZAYI KESEN : [KURUM/BELEDİYE] — Tutanak/Karar No: [...] — 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[TUTAR] TL tutarındaki idari para cezasına itiraz.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[TARİH] tarihinde tarafıma [CEZA TÜRÜ VE GEREKÇESİ: örn. işyeri denetiminde ... nedeniyle] idari para cezası kesilmiştir (tutanak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[İTİRAZ GEREKÇESİ: örn. Cezanın dayandığı tespit eksik ve hatalıdır / olayda kast veya ihmal bulunmamaktadır / ceza miktarı hatalı hesaplanmıştır / cezayı kesen kurum yetkisizdir].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Ceza; 5326 sayılı Kabahatler Kanunu'na aykırı olarak düzenlenmiştir.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5326 sayılı Kabahatler Kanunu madde 27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Ceza tutanağı, kamera kaydı, fotoğraflar, tanık, diğer belgeler.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İdari para cezasının KALDIRILMASINA, [varsa] aksi hâlde İNDİRİLMESİNE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Ceza tutanağı/kararı, kimlik fotokopisi, deliller.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