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İDARI İPTAL DAVASı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İdari İptal Davası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İDARİ İPTAL DAVASI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İdare Mahkemesi'ne,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 : [Ad Soyad/Unvan]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DAVALI : [İDARE: Kurum/Belediye Adı]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[TARİH] tarihli ve [SAYI] sayılı işlemin İPTALİ istemi.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Davalı idare; [İŞLEMİN TANIMI: örn. tarafıma idari para cezası kesilmesi / ruhsatımın iptali / atama işleminin yapılmaması] yönünde [TARİH] tarihinde işlem tesis etmiştir (işlem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İşlem; [HUKUKA AYKIRILIK GEREKÇELERİ: yetki unsuru yönünden / şekil ve usul yönünden / sebep yönünden hatalıdır; eksik incelemeye dayanmaktadır; hukuka ve kamu yararına aykırıdır] olup iptali gerekmektedir.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İşlem nedeniyle davacının MENFAATİ ihlal edilmiştir.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[Varsa: Ön itiraz/üst makama başvuru yapılmış, [TARİH] itibarıyla cevap verilmemiştir.]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HUKUKİ SEBEPLER : 2577 sayılı İYUK madde 2, 7, 27 ve ilgili maddeler.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İşlem belgesi, dilekçeler, bilgi ve belgeler, [varsa] keşif/bilirkişi.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Dava konusu işlemin İPTALİNE; [varsa] yargılama süresince YÜRÜTMENİN DURDURULMASINA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DAVACI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