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İDARI İPTAL DAVASı DILEKçESI NASıL YAZıLıR? (İDARE MAHKEMESI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İdari İptal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İDARİ İPTAL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İdare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Soyad/Unvan]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[İDARE: Kurum/Belediye Adı]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ve [SAYI] sayılı işlemin İPTALİ istemi.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Davalı idare; [İŞLEMİN TANIMI: örn. tarafıma idari para cezası kesilmesi / ruhsatımın iptali / atama işleminin yapılmaması] yönünde [TARİH] tarihinde işlem tesis etmiştir (işlem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İşlem; [HUKUKA AYKIRILIK GEREKÇELERİ: yetki unsuru yönünden / şekil ve usul yönünden / sebep yönünden hatalıdır; eksik incelemeye dayanmaktadır; hukuka ve kamu yararına aykırıdır] olup iptali gerekmektedir.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İşlem nedeniyle davacının MENFAATİ ihlal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Ön itiraz/üst makama başvuru yapılmış, [TARİH] itibarıyla cevap verilmemiştir.]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2577 sayılı İYUK madde 2, 7, 27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İşlem belgesi, dilekçeler, bilgi ve belgeler, [varsa] keşif/bilirkişi.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 konusu işlemin İPTALİNE; [varsa] yargılama süresince YÜRÜTMENİN DURDURULMASINA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