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İCRA TAKIP TALEBI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İcra Takip Talebi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İCRA TAKİP TALEBİ (GENEL HACİZ YOLUYLA)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T.C. No/Vergi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TAKİP KONUSU : Genel haciz yoluyla ilamsız icra takibi (İİK madde 58).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ALACAĞIN DAYANAĞI : [SÖZLEŞME / FATURA / SENET / ÇEK / ÖDÜNÇ] — [TARİH VE SAYI]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Asıl alacak: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İşlemiş faiz: [TUTAR] TL ([FAİZ TÜRÜ: yasal/temerrüt] — [BAŞLANGIÇ] itibarıyla)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[Varsa:] Takip giderleri ve vekalet ücreti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Borçlu; [ALACAĞIN KAYNAĞI VE ÖDENMEME DURUMU] nedeniyle tarafıma [TUTAR] TL borçludur.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[Varsa: [İHTAR TARİHİ] tarihli ihtarname ile temerrüde düşürülmüştür.]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Faizin, takip tarihinden itibaren de işletilmesini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Borçlu hakkında ÖDEME EMRİ düzenlenmesine ve takibin yasal sonuçlarının uygulanmasına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Dayanak belgeler.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ALACAKLI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