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İCRA TAKIP TALEBI DILEKçESI NASıL YAZıLıR? (GENEL HACIZ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İcra Takip Talebi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TAKİP TALEBİ (GENEL HACİZ YOLUYLA)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TAKİP KONUSU : Genel haciz yoluyla ilamsız icra takibi (İİK madde 58).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ALACAĞIN DAYANAĞI : [SÖZLEŞME / FATURA / SENET / ÇEK / ÖDÜNÇ] — [TARİH VE SAYI]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Asıl alacak: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İşlemiş faiz: [TUTAR] TL ([FAİZ TÜRÜ: yasal/temerrüt] — [BAŞLANGIÇ] itibarıyla)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[Varsa:] Takip giderleri ve vekalet ücreti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Borçlu; [ALACAĞIN KAYNAĞI VE ÖDENMEME DURUMU] nedeniyle tarafıma [TUTAR] TL borçludur.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[İHTAR TARİHİ] tarihli ihtarname ile temerrüde düşürülmüştür.]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Faizin, takip tarihinden itibaren de işletilmesini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Borçlu hakkında ÖDEME EMRİ düzenlenmesine ve takibin yasal sonuçlarının uygulanmasına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Dayanak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