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HACIZ ŞIKAYETI (HACZEDILMEZLIK)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Haciz Şikayeti (Haczedilmezlik)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HACİZ ŞİKAYETİ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(Borçlu/Üçüncü Kişi)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(Alacaklı) : [Ad Soyad/Unvan]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yapılan haczin kaldırılması talebi (haciz şikayeti).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takip dosyasında, [HACİZ TARİHİ] tarihinde tarafıma ait [HACZEDİLEN MAL: örn. maaşım / ev eşyalarım / [TAŞIT/TAŞINMAZ]] haczedilmiştir.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[ŞİKAYET SEBEBİ: örn. Haczedilen mal; İİK 82 uyarınca HACZEDİLMEZ mallardandır (zorunlu ev eşyası / maaşın dörtte biri üzeri) / mal borçluya ait değildir / haciz usulsüz yapılmıştır].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Haczin kaldırılması için yasal süresi içinde işbu şikayet yapılmıştır.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16, 82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Haciz tutanağı, maaş bordrosu, malvarlığı belgeleri,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Haczin KALDIRILMASINA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