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HACIZ ŞIKAYETI (HACZEDILMEZLIK) DILEKçESI NASıL YAZıLıR? (İİK 82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Haciz Şikayeti (Haczedilmezlik)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HACİZ ŞİKAYETİ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İcra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ŞİKAYETÇİ (Borçlu/Üçüncü Kişi)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(Alacaklı) : [Ad Soyad/Unvan]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TAKİP DOSYASI : [İL] İcra Müdürlüğü — [ESAS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tarihinde yapılan haczin kaldırılması talebi (haciz şikayeti).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[ESAS NO] sayılı takip dosyasında, [HACİZ TARİHİ] tarihinde tarafıma ait [HACZEDİLEN MAL: örn. maaşım / ev eşyalarım / [TAŞIT/TAŞINMAZ]] haczedilmiştir.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[ŞİKAYET SEBEBİ: örn. Haczedilen mal; İİK 82 uyarınca HACZEDİLMEZ mallardandır (zorunlu ev eşyası / maaşın dörtte biri üzeri) / mal borçluya ait değildir / haciz usulsüz yapılmıştır].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Haczin kaldırılması için yasal süresi içinde işbu şikayet yapılmıştır.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İİK madde 16, 82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Haciz tutanağı, maaş bordrosu, malvarlığı belgeleri, tanık.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Haczin KALDIRILMASINA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ŞİKAYETÇİ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