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GAIPLIK KARARı TALEP DILEKçESI NASıL YAZıLıR? (TMK 32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Gaiplik Kararı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GAİPLİK KARARI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Sulh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 : [Ad Soyad] — T.C. No: [...] — Adres: [...] — [İlgisi: eşi / mirasçısı / alacaklısı]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HAKKINDA KARAR İSTENEN : [Ad Soyad] — T.C. No: [...] — Son bilinen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Gaiplik (ölmüş sayılma) kararı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[KAYBOLAN KİŞİ]; [KAYBOLMA TARİHİ / SON HABER TARİHİ] tarihinden bu yana [ÖLÜM TEHLİKESİ: örn. deprem/sel sırasında kaybolmuştur / NEDEN: hakkında hiçbir haber alınamamaktadır].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Aradan [SÜRE] geçmesine rağmen kendisinden haber alınamamış; yapılan araştırmalar sonuçsuz kalmıştır.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[İLGİ: Talep eden, kaybolanın mirasçısı/alacaklısı olup gaiplik kararı hukuki işlemleri için gereklidir.]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Türk Medeni Kanunu'nun 32. maddesindeki yasal süreler dolmuştur.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32-35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Nüfus kayıtları, tanık beyanları, araştırma belgeleri, ilân.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[KAYBOLAN KİŞİ] hakkında GAİPLİK KARARI VERİLMESİNİ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EDEN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