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GABIN (AşıRı YARARLANMA) DAVASı DILEKçESI NASıL YAZıLıR? (TBK 28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Gabin (Aşırı Yararlanma)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GABİN (AŞIRI YARARLANMA)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Soyad/Unvan]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Gabin (aşırı yararlanma) nedeniyle sözleşmenin iptali / orantısızlığın giderilmesi.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 ile davalı arasında [TARİH] tarihinde [SÖZLEŞME TÜRÜ: satış/kira/ödünç vb.] sözleşmesi imzalanmıştır.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Davacı; [ZOR DURUM / DÜŞÜNCESİZLİK / DENEYİMSİZLİK: durumun açıklaması] içinde bulunduğu sırada sözleşmeyi imzalamıştır.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Sözleşmedeki edimler arasında AÇIK BİR ORANTISIZLIK bulunmaktadır: [ÖRN: davacının devrettiği taşınmazın değeri [TUTAR] TL iken, karşılığında aldığı bedel [TUTAR] TL'dir].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Davalı; davacının bu durumundan YARARLANARAK sözleşmeyi kurmuştur.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Davacı; TBK 28 uyarınca sözleşmeyle bağlı değildir.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28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Sözleşme, emsal değer araştırması,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Sözleşmenin İPTALİNE, [seçimlik olarak] edimler arasındaki orantısızlığın GİDERİLMESİNE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