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EVLAT EDINME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Evlat Edinme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VLAT EDİNME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LAR : 1.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Eşi varsa 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ÇOCUK ADI]'nın evlat edinilmes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Başvuranlar evli olup [EVLİLİK TARİHİ] tarihinden beri birlikte yaşa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ÇOCUK ADI] ([DOĞUM TARİHİ]); [TARİH] tarihinden bu yana [SÜRE] süredir başvuranların yanında kalmakta, bakım ve eğitimleri başvuranlarca karşılan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Aile ve Sosyal Hizmetler İl Müdürlüğü'nce yapılan incelemede evlat edinme koşullarının oluştuğu belirlen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Çocuğun üstün yararı gereği evlat edinilmesi uygun görülmekte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305-320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Sosyal inceleme raporu, sağlık raporları, gelir belgeleri, tanık beyan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[ÇOCUK ADI]'nın başvuranlarca evlat edinilmesine karar verilmesini saygıyla arz ve talep ederi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LAR: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