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EVLAT EDINME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vlat Edinme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VLAT EDİNME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LAR : 1.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Eşi varsa 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ÇOCUK ADI]'nın evlat edinil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Başvuranlar evli olup [EVLİLİK TARİHİ] tarihinden beri birlikte yaşa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ÇOCUK ADI] ([DOĞUM TARİHİ]); [TARİH] tarihinden bu yana [SÜRE] süredir başvuranların yanında kalmakta, bakım ve eğitimleri başvuranlarca karşıla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Aile ve Sosyal Hizmetler İl Müdürlüğü'nce yapılan incelemede evlat edinme koşullarının oluştuğu belirlen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Çocuğun üstün yararı gereği evlat edinilmesi uygun görül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305-320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Sosyal inceleme raporu, sağlık raporları, gelir belgeleri, tanık beyan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[ÇOCUK ADI]'nın başvuranlarca evlat edinilmesine karar verilmesini saygıyla arz ve talep ederi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LAR: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