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EVLAT EDINME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Evlat Edinme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EVLAT EDİNME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BAŞVURANLAR : 1.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[Eşi varsa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[ÇOCUK ADI]'nın evlat edinilmesi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Başvuranlar evli olup [EVLİLİK TARİHİ] tarihinden beri birlikte yaşamaktadır.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[ÇOCUK ADI] ([DOĞUM TARİHİ]); [TARİH] tarihinden bu yana [SÜRE] süredir başvuranların yanında kalmakta, bakım ve eğitimleri başvuranlarca karşılanmaktadır.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Aile ve Sosyal Hizmetler İl Müdürlüğü'nce yapılan incelemede evlat edinme koşullarının oluştuğu belirlenmiştir.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üstün yararı gereği evlat edinilmesi uygun görülmektedir.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305-320.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Sosyal inceleme raporu, sağlık raporları, gelir belgeleri,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[ÇOCUK ADI]'nın başvuranlarca evlat edinilmesine karar verilmesini saygıyla arz ve talep ederiz.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BAŞVURANLAR: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