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EVLAT EDINME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Evlat Edinme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EVLAT EDİNME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Aile Mahkemesi Hâkimliği'ne,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BAŞVURANLAR : 1.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[Eşi varsa Ad Soyad] — T.C.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[ÇOCUK ADI]'nın evlat edinilmesi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Başvuranlar evli olup [EVLİLİK TARİHİ] tarihinden beri birlikte yaşamaktadır.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[ÇOCUK ADI] ([DOĞUM TARİHİ]); [TARİH] tarihinden bu yana [SÜRE] süredir başvuranların yanında kalmakta, bakım ve eğitimleri başvuranlarca karşılanmaktadır.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Aile ve Sosyal Hizmetler İl Müdürlüğü'nce yapılan incelemede evlat edinme koşullarının oluştuğu belirlenmiştir.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Çocuğun üstün yararı gereği evlat edinilmesi uygun görülmektedir.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Türk Medeni Kanunu madde 305-320.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Sosyal inceleme raporu, sağlık raporları, gelir belgeleri, tanık beyanları.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[ÇOCUK ADI]'nın başvuranlarca evlat edinilmesine karar verilmesini saygıyla arz ve talep ederiz.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BAŞVURANLAR: [Ad Soyad / 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