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EMLAK VERGISI MUAFIYET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Emlak Vergisi Muafiyet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Emlak Vergisi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Emlak vergisi muafiyet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taşınmaz bakımından 1319 sayılı Emlak Vergisi Kanunu uyarınca muafiyet şartlarını taşımaktayım. Söz konusu taşınmaz için tahakkuk ettirilen emlak vergisinin muafiyet kapsamında düzeltilmesini / iptalini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 / UNVAN]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/ Vergi Kimlik No: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Mahalle / Köy: [MAHALLE]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/ Parsel / Bağımsız Bölüm: [ADA / PARSEL / BB]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Tapu Kayıt Tarihi: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MUAFİYET DAYANAĞI: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[MUAFİYET TÜRÜ: Kamu kurumuna ait bina / ibadet yeri / engellilik indirimi / sıfır bina istisnası / diğer]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edilen dönem: [YIL / DÖNEM]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Tapu kaydı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Muafiyet dayanağı belge (engelli raporu / kurum yazısı / yapı kullanma izni vb.)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Kimlik fotokopisi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