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SGK YAşLıLıK AYLığı TALEBI (4/A)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Yaşlılık Aylığı Talebi (4/a)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YAŞLILIK AYLIĞI (EMEKLİLİK)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Güvenlik Kurumu [İL/İLÇE]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Sigortalılık sürem, prim gün sayım ve yaş şartlarını tamamlamış bulunmaktayım. Tarafıma 5510 sayılı Kanun kapsamında &lt;strong&gt;yaşlılık aylığı bağlanmasını&lt;/strong&gt;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İşten ayrılış bildirimim [İŞVEREN ADI] tarafından yapılmış olup, başvurumun sonuçlandırılarak aylığımın yasal faiziyle birlikte ödenmesini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[varsa] hizmet dökümü.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