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EMEKLILIK DILEKçESI NASıL YAZıLıR? (SGK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SGK Yaşlılık Aylığı Talebi (4/a)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YAŞLILIK AYLIĞI (EMEKLİLİK)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Sosyal Güvenlik Kurumu [İL/İLÇE]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Sigorta Sicil No: [Sicil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Sigortalılık sürem, prim gün sayım ve yaş şartlarını tamamlamış bulunmaktayım. Tarafıma 5510 sayılı Kanun kapsamında &lt;strong&gt;yaşlılık aylığı bağlanmasını&lt;/strong&gt;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İşten ayrılış bildirimim [İŞVEREN ADI] tarafından yapılmış olup, başvurumun sonuçlandırılarak aylığımın yasal faiziyle birlikte ödenmesini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[varsa] hizmet dökümü.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Memur Emeklilik Başvurusu (4/c)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MEMUR EMEKLİLİK (YAŞLILIK AYLIĞI)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Personel / Emeklilik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[KADRO/GÖREV UNVANI] olarak görev yapmaktayım. Emeklilik şartlarını tamamladığımdan, [EMEKLİLİK TARİHİ: GG.AA.YYYY] tarihi itibarıyla görevimden emeklilik nedeniyle ayrılmak ve emekli aylığımın bağlanması için gerekli işlemlerin başlatılmasını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saygılarımla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