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EMEKLILIK DILEKçESI NASıL YAZıLıR? (SGK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SGK Yaşlılık Aylığı Talebi (4/a)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YAŞLILIK AYLIĞI (EMEKLİLİK)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Sigortalılık sürem, prim gün sayım ve yaş şartlarını tamamlamış bulunmaktayım. Tarafıma 5510 sayılı Kanun kapsamında &lt;strong&gt;yaşlılık aylığı bağlanmasını&lt;/strong&gt;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İşten ayrılış bildirimim [İŞVEREN ADI] tarafından yapılmış olup, başvurumun sonuçlandırılarak aylığımın yasal faiziyle birlikte ödenmesini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[varsa] hizmet dökümü.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Memur Emeklilik Başvurusu (4/c)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EMEKLİLİK (YAŞLILIK AYLIĞI)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Personel / Emeklilik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görev yapmaktayım. Emeklilik şartlarını tamamladığımdan, [EMEKLİLİK TARİHİ: GG.AA.YYYY] tarihi itibarıyla görevimden emeklilik nedeniyle ayrılmak ve emekli aylığımın bağlanması için gerekli işlemlerin başlatılmasını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saygılarımla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