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ECRIMISIL DAVASı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Ecrimisil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ECRİMİSİL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(Malik)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[Ad Soyad]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KONUSU TAŞINMAZ : [İL/İLÇE], [MAHALLE], [ADA], [PARSEL] — [NİTELİK] — [YÜZÖLÇÜMÜ] m²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DEĞERİ : [TUTAR] TL (fazlaya ilişkin haklar saklıdır)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Haksız kullanım nedeniyle ecrimisil (işgal tazminatı).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Davacı; dava konusu taşınmazın [TAPU KAYDI] ile MALİKİDİR.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Davalı; [İŞGAL BAŞLANGICI] tarihinden bu yana taşınmazı [KULLANIM ŞEKLİ: örn. konut/işyeri olarak / mirasçı sıfatıyla tek başına] haksız olarak kullanmakta, davacıyı tasarruftan yoksun bırakmaktadır.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Davalıya [İHTAR TARİHİ] tarihinde ihtar çekilmesine rağmen taşınmaz boşaltılmamıştır.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Taşınmazın emsal kira bedeli aylık [TUTAR] TL olup davacının bu dönemdeki ecrimisil alacağı [TUTAR] TL'dir.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TMK madde 683, 995; TBK madde 2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Tapu kaydı, ihtar, tanık, emsal kira araştırması, keşif,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Fazlaya ilişkin haklarım saklı kalmak üzere; [DÖNEM] dönemi için [TUTAR] TL ECRİMİSİLİN, dava tarihinden itibaren işleyecek yasal faiziyle birlikte DAVALIDAN TAHSİLİNE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