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BELEDIYEYE ÇEVRE KIRLILIğI ŞIKâYET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Belediyeye Çevre Kirliliği Şikâyet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[İLÇE] BELEDİYE BAŞKANLIĞINA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Çevre Koruma ve Kontrol Müdürlüğü'ne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Çevre kirliliği şikâyeti ve denetim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Aşağıda adresi belirtilen yerde/aşağıda kimliği belirtilen faaliyet nedeniyle çevre kirliliği oluşmaktadır. 2872 sayılı Çevre Kanunu kapsamında gerekli denetimin yapılmasını ve kirliliğin önlenmesini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KİRLİLİK BİLGİLERİ: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[AÇIK 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Faaliyet Sahibi (biliniyorsa): [AD / UNVAN]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Kirlilik Türü: [ATIK DÖKME / İZİNSİZ YAKMA / DUMAN-KOKU / ATIK SU DEŞARJI / KİMYASAL / DİĞER]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Başlangıç Tarihi: 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Sıklık: [SÜREKLİ / GÜNLÜK / HAFTALIK / ARALIKLI]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Etkileri: [KOKU / SAĞLIK ŞİKÂYETİ / SU-TOPRAK KİRLİLİĞİ / DİĞER]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Daha önce yapılan başvuru: [VARSA TARİH VE SONUÇ / YOK]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Fotoğraf / video kaydı ([TARİH])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(Varsa) önceki başvuru evrakı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Kimlik bilgilerimin gizli tutulmasını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[TELEFON]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