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CENAZE (ÖLüM) ÖDENEğI BAşVURU DILEKçESI NASıL YAZıLıR? (SGK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Cenaze (Ölüm) Ödeneği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CENAZE (ÖLÜM) ÖDENEĞİ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No: [...] — Adres: [...] — [Yakınlık / cenazeyi kaldıran]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SİGORTALI (Vefat Eden) : [Ad Soyad] — T.C. No: [...] — Sigorta Sicil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Cenaze ödeneği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Sigortalı [AD SOYAD]; [ÖLÜM TARİHİ] tarihinde vefat etmiştir (ölüm belgesi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Sigortalının ölümü; [DOĞAL NEDEN / İŞ KAZASI / MESLEK HASTALIĞI] sonucu gerçekleşmiştir.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Başvuran; ölenin [YAKINLIĞI / cenaze masraflarını üstlenen kişi] olup cenaze giderlerini karşılamıştır.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5510 sayılı Kanun'un 37. maddesi uyarınca CENAZE ÖDENEĞİNİN tarafıma ödenmesini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Ölüm belgesi, vukuatlı nüfus kayıt örneği, kimlik fotokopisi, [varsa] cenaze masraf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ödeneğimin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