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2. ÖRNEK: ÇEKIşMELI BOşANMA DILEKçESI (VELAYET, NAFAKA VE TAZMINAT TALEPLI)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2. ÖRNEK: Çekişmeli Boşanma Dilekçesi (Velayet, Nafaka ve Tazminat Talepli)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ÖRNEK: ÇEKİŞMELİ BOŞANMA DİLEKÇESİ (VELAYET, NAFAKA VE TAZMİNAT TALEPLİ)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 Aile Mahkemesi Hâkimliği'ne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 : [Adınız Soyadınız] — T.C. No: [T.C. Kimlik No] — Adres: [Açık adresiniz]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DAVALI : [Eşinizin Adı Soyadı] — T.C. No: [T.C. Kimlik No] — Adres: [Eşinizin adresi]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: Evlilik birliğinin temelinden sarsılması nedeniyle boşanma, velayet, iştirak nafakası, yoksulluk nafakası, maddi ve manevi tazminat talepleri.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Taraflar [EVLİLİK TARİHİ] tarihinde evlenmiş, bu evlilikten [ÇOCUK ADI] ([DOĞUM TARİHİ] doğumlu) dünyaya gelmiştir.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Evliliğin ilk yıllarından itibaren davalının [KISACA SORUNLU DAVRANIŞLAR: örn. ilgisizlik, hakaret, ekonomik baskı, şiddetli geçimsizlik] nedeniyle ortak hayat çekilmez hâle gelmiştir.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[SOMUT OLAYLARI TARİHLERİYLE ANLATIN: örn. ... tarihinde ... yaşanmış, ... tarihinde davalı evi terk etmiştir vb.]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Davalının bu tutumları nedeniyle evlilik birliği temelinden sarsılmış, ortak hayatın sürdürülmesi beklenemez hâle gelmiştir.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Müşterek çocuğun bakım, eğitim ve korunması davacı açısından daha uygun olduğundan velayetin davacıya verilmesi; çocuk için iştirak nafakasına hükmedilmesi gerekmektedir.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Davacı, boşanma yüzünden yoksulluğa düşeceğinden yoksulluk nafakası; yaşanan olaylar nedeniyle kişilik hakları saldırıya uğradığından maddi ve manevi tazminat talep etme zorunluluğu doğmuştur.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Türk Medeni Kanunu madde 166/1, 174, 175, 182, 183 ve ilgili maddeler.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Nüfus kayıtları, tanık beyanları, mesaj ve yazışma kayıtları, [varsa sağlık raporu / savcılık şikâyeti], keşif ve sair yasal deliller.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Yukarıda açıklanan nedenlerle; TARAFLARIN BOŞANMASINA, müşterek çocuğun velayetinin DAVACIYA verilmesine, çocuk için aylık [TUTAR] TL iştirak nafakasına, davacı lehine aylık [TUTAR] TL yoksulluk nafakasına, [TUTAR] TL maddi ve [TUTAR] TL manevi tazminata, yargılama giderlerinin davalıya yükletilmesine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