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2. ÖRNEK: ÇEKIşMELI BOşANMA DILEKçESI (VELAYET, NAFAKA VE TAZMINAT TALEPLI)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2. ÖRNEK: Çekişmeli Boşanma Dilekçesi (Velayet, Nafaka ve Tazminat Talepli)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ÖRNEK: ÇEKİŞMELİ BOŞANMA DİLEKÇESİ (VELAYET, NAFAKA VE TAZMİNAT TALEPLİ)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 Aile Mahkemesi Hâkimliği'ne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 : [Adınız Soyadınız] — T.C. No: [T.C. Kimlik No] — Adres: [Açık adresiniz]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DAVALI : [Eşinizin Adı Soyadı] — T.C. No: [T.C. Kimlik No] — Adres: [Eşinizin adresi]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 : Evlilik birliğinin temelinden sarsılması nedeniyle boşanma, velayet, iştirak nafakası, yoksulluk nafakası, maddi ve manevi tazminat talepleri.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Taraflar [EVLİLİK TARİHİ] tarihinde evlenmiş, bu evlilikten [ÇOCUK ADI] ([DOĞUM TARİHİ] doğumlu) dünyaya gelmiştir.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Evliliğin ilk yıllarından itibaren davalının [KISACA SORUNLU DAVRANIŞLAR: örn. ilgisizlik, hakaret, ekonomik baskı, şiddetli geçimsizlik] nedeniyle ortak hayat çekilmez hâle gelmiştir.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[SOMUT OLAYLARI TARİHLERİYLE ANLATIN: örn. ... tarihinde ... yaşanmış, ... tarihinde davalı evi terk etmiştir vb.]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Davalının bu tutumları nedeniyle evlilik birliği temelinden sarsılmış, ortak hayatın sürdürülmesi beklenemez hâle gelmiştir.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5. Müşterek çocuğun bakım, eğitim ve korunması davacı açısından daha uygun olduğundan velayetin davacıya verilmesi; çocuk için iştirak nafakasına hükmedilmesi gerekmektedir.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6. Davacı, boşanma yüzünden yoksulluğa düşeceğinden yoksulluk nafakası; yaşanan olaylar nedeniyle kişilik hakları saldırıya uğradığından maddi ve manevi tazminat talep etme zorunluluğu doğmuştur.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HUKUKİ SEBEPLER : Türk Medeni Kanunu madde 166/1, 174, 175, 182, 183 ve ilgili maddeler.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DELİLLER : Nüfus kayıtları, tanık beyanları, mesaj ve yazışma kayıtları, [varsa sağlık raporu / savcılık şikâyeti], keşif ve sair yasal deliller.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VE İSTEM : Yukarıda açıklanan nedenlerle; TARAFLARIN BOŞANMASINA, müşterek çocuğun velayetinin DAVACIYA verilmesine, çocuk için aylık [TUTAR] TL iştirak nafakasına, davacı lehine aylık [TUTAR] TL yoksulluk nafakasına, [TUTAR] TL maddi ve [TUTAR] TL manevi tazminata, yargılama giderlerinin davalıya yükletilmesine karar verilmesini saygıyla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