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ANLAşMALı BOşANMA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Anlaşmalı Boşanma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ÖRNEK: ANLAŞMALI BOŞANMA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 Aile Mahkemesi Hâkimliği'ne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[Eşinizin 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Anlaşmalı boşanma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[EVLİLİK TARİHİ] tarihinde evlenmiş olup evlilik birliği içinde [ORTAK ÇOCUK VARSA AD SOYAD / YOKSA "ortak çocuk bulunmamaktadır"] dünyaya gelmiştir.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Evlilik birliği temelinden sarsılmış, taraflar boşanma ve boşanmanın sonuçları konusunda tamamen anlaşmışlardır.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Taraflar, velayet, nafaka ve tazminat konularındaki anlaşmalarını içeren protokolü işbu dilekçe ekinde sunmuşlardır. Protokolde tarafların karşılıklı olarak nafaka ve tazminat talepleri bulunmadığı da belirtilmiştir.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Taraflar, hâkim tarafından bizzat dinlenilmeye ve iradelerinin serbestçe açıklandığının tespit edilmesine hazırdır.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166/3 ve ilgili mevzuat.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Anlaşmalı boşanma protokolü, nüfus kayıtları, tanık beyanları ve sair yasal deliller.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Yukarıda açıklanan nedenlerle; tarafların BOŞANMALARINA, protokoldeki hükümlerin aynen kabulüne, yargılama giderlerinin davacı üzerinde bırakılmasına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