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BABALıK DAVASı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Babalık Davası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BABALIK DAVASI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Aile Mahkemesi Hâkimliği'ne,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[Çocuk adına ana/kayyım — 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: [Baba olduğu iddia edilen kişi] — T.C. No: [...]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Soybağının (babalığın) tespiti ile nüfusa tescil.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Davacı [ANA ADI], [ÇOCUK ADI]'nı [DOĞUM TARİHİ] tarihinde dünyaya getirmiştir; çocuk evlilik dışı doğmuştur.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Çocuğun babası, davacı ana ile [İLİŞKİ DÖNEMİ] döneminde birlikte yaşayan davalıdır; davalı [çocuğu tanımamış / nüfusa baba hanesi boş bırakılmıştır].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Davalı ile çocuk arasında soybağı kurulması; çocuğun bakım, nafaka, miras ve kişilik hakları bakımından zorunludur.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[Varsa: Davalı, genetik incelemeye tabi tutulmayı kabul etmiştir.]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TMK madde 301, 303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Nüfus kayıtları, tanık beyanları, [talep] genetik (DNA) inceleme.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Davalının, davacı çocuğun BABASI olduğunun tespitine ve nüfus kaydına bu doğrultuda tesciline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