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BABALıK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Babalık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BABALIK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[Çocuk adına ana/kayyım —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[Baba olduğu iddia edilen kişi]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Soybağının (babalığın) tespiti ile nüfusa tescil.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Davacı [ANA ADI], [ÇOCUK ADI]'nı [DOĞUM TARİHİ] tarihinde dünyaya getirmiştir; çocuk evlilik dışı doğmuştur.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Çocuğun babası, davacı ana ile [İLİŞKİ DÖNEMİ] döneminde birlikte yaşayan davalıdır; davalı [çocuğu tanımamış / nüfusa baba hanesi boş bırakılmıştır].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 ile çocuk arasında soybağı kurulması; çocuğun bakım, nafaka, miras ve kişilik hakları bakımından zorunludur.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[Varsa: Davalı, genetik incelemeye tabi tutulmayı kabul etmiştir.]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301, 303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tanık beyanları, [talep] genetik (DNA) inceleme.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Davalının, davacı çocuğun BABASI olduğunun tespitine ve nüfus kaydına bu doğrultuda tesciline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