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BABALıK DAVASı DILEKçESI NASıL YAZıLıR? (TMK 301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Babalık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BABALIK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[Çocuk adına ana/kayyım —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[Baba olduğu iddia edilen kişi]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Soybağının (babalığın) tespiti ile nüfusa tescil.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 [ANA ADI], [ÇOCUK ADI]'nı [DOĞUM TARİHİ] tarihinde dünyaya getirmiştir; çocuk evlilik dışı doğmuştur.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Çocuğun babası, davacı ana ile [İLİŞKİ DÖNEMİ] döneminde birlikte yaşayan davalıdır; davalı [çocuğu tanımamış / nüfusa baba hanesi boş bırakılmıştır].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 ile çocuk arasında soybağı kurulması; çocuğun bakım, nafaka, miras ve kişilik hakları bakımından zorunludur.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Davalı, genetik incelemeye tabi tutulmayı kabul etmiştir.]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301, 303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tanık beyanları, [talep] genetik (DNA) inceleme.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Davalının, davacı çocuğun BABASI olduğunun tespitine ve nüfus kaydına bu doğrultuda tesciline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