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BABALıK DAVASı DILEKçESI NASıL YAZıLıR? (TMK 301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Babalık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BABALIK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[Çocuk adına ana/kayyım —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[Baba olduğu iddia edilen kişi]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Soybağının (babalığın) tespiti ile nüfusa tescil.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Davacı [ANA ADI], [ÇOCUK ADI]'nı [DOĞUM TARİHİ] tarihinde dünyaya getirmiştir; çocuk evlilik dışı doğmuştur.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Çocuğun babası, davacı ana ile [İLİŞKİ DÖNEMİ] döneminde birlikte yaşayan davalıdır; davalı [çocuğu tanımamış / nüfusa baba hanesi boş bırakılmıştır].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 ile çocuk arasında soybağı kurulması; çocuğun bakım, nafaka, miras ve kişilik hakları bakımından zorunludur.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[Varsa: Davalı, genetik incelemeye tabi tutulmayı kabul etmiştir.]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301, 303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tanık beyanları, [talep] genetik (DNA) inceleme.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Davalının, davacı çocuğun BABASI olduğunun tespitine ve nüfus kaydına bu doğrultuda tesciline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