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ANLAşMALı BOşANMA DAVA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Anlaşmalı Boşanma Dava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ANLAŞMALI BOŞANMA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[EŞ 1 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[EŞ 2 Ad Soyad]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Anlaşmalı olarak boşanma (TMK madde 166/3).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[EVLİLİK TARİHİ] tarihinde evlenmiş olup [VARS İSE ÇOCUK/ÇOCUKLARIN ADI VE DOĞUM TARİHLERİ] doğumlu müşterek çocukları bulunmaktadır.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Evlilik birliği en az 1 yıldır devam etmektedir; taraflar boşanmanın malî sonuçları ile çocukların durumu konusunda serbestçe anlaşmıştır.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Taraflarca düzenlenen [TARİH] tarihli anlaşmalı boşanma protokolü ekte sunulmuştur. Protokolde; velayet, kişisel ilişki, iştirak nafakası, yoksulluk nafakası, tazminat ve mal rejimi tasfiyesi konuları düzenlenmiştir.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166/3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Nüfus kayıtları, anlaşmalı boşanma protokolü, tanık beyanları.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Tarafların anlaşmalı olarak BOŞANMALARINA karar verilmesini saygıyla arz ve talep ederiz.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EŞLER: [EŞ 1 Ad Soyad / İmza] — [EŞ 2 Ad Soyad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