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ANLAşMALı BOşANMA DAVA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Anlaşmalı Boşanma Dava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ANLAŞMALI BOŞANMA DAVA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[EŞ 1 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[EŞ 2 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Anlaşmalı olarak boşanma (TMK madde 166/3).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[EVLİLİK TARİHİ] tarihinde evlenmiş olup [VARS İSE ÇOCUK/ÇOCUKLARIN ADI VE DOĞUM TARİHLERİ] doğumlu müşterek çocukları bulunmaktadır.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Evlilik birliği en az 1 yıldır devam etmektedir; taraflar boşanmanın malî sonuçları ile çocukların durumu konusunda serbestçe anlaşmıştır.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Taraflarca düzenlenen [TARİH] tarihli anlaşmalı boşanma protokolü ekte sunulmuştur. Protokolde; velayet, kişisel ilişki, iştirak nafakası, yoksulluk nafakası, tazminat ve mal rejimi tasfiyesi konuları düzenlenmiştir.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166/3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Nüfus kayıtları, anlaşmalı boşanma protokolü,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Tarafların anlaşmalı olarak BOŞANMALARINA karar verilmesini saygıyla arz ve talep ederiz.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EŞLER: [EŞ 1 Ad Soyad / İmza] — [EŞ 2 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