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ANLAşMALı BOşANMA DAVA DILEKçESI NASıL YAZıLıR? (TMK 166/3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Dava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ANLAŞMALI BOŞANMA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 1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[EŞ 2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Anlaşmalı olarak boşanma (TMK madde 166/3).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[VARS İSE ÇOCUK/ÇOCUKLARIN ADI VE DOĞUM TARİHLERİ] doğumlu müşterek çocukları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birliği en az 1 yıldır devam etmektedir; taraflar boşanmanın malî sonuçları ile çocukların durumu konusunda serbestçe anlaşmıştır.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Taraflarca düzenlenen [TARİH] tarihli anlaşmalı boşanma protokolü ekte sunulmuştur. Protokolde; velayet, kişisel ilişki, iştirak nafakası, yoksulluk nafakası, tazminat ve mal rejimi tasfiyesi konuları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anlaşmalı boşanma protokolü,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Tarafların anlaşmalı olarak BOŞANMALARINA karar verilmesini saygıyla arz ve talep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EŞLER: [EŞ 1 Ad Soyad / İmza] — [EŞ 2 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