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ALACAK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Alacak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Asliye Hukuk/Ticaret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(Alacaklı) : [Ad Soyad/Unvan] — T.C. No/Vergi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(Borçlu) : [Ad Soyad/Unvan] — T.C. No/Vergi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DEĞERİ : [TUTAR] TL (faiz hariç)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Alacağın tahsili.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arasındaki [İLİŞKİ: satış/hizmet/ödünç/kira sözleşmesi veya ...] uyarınca davalı; [ALACAĞIN KAYNAĞI: teslim edilen malların bedeli / ifa edilen hizmetin ücreti / verilen ödünç para] karşılığı davacıya [TUTAR] TL borçlanmıştır.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[BELGELER: [TARİH] tarihli sözleşme / [FATURA NO] sayılı fatura / senet / banka dekontu] ekte sunulmuştur.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Davalı, [İHTAR TARİHİ] tarihli ihtarnameye rağmen borcunu ödememiş; temerrüde düşmüştür.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[Ticari dava ise: Arabuluculuk son tutanağı ekte sunulmuştur.]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89, 90, 117 ve ilgili maddeler; 6100 sayılı HMK.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Sözleşme, fatura, dekontlar, ihtarname, ticari defterler, tanık, bilirkişi.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 [TUTAR] TL borcunun, temerrüt faiziyle birlikte DAVALIDAN TAHSİLİNE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