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ALACAK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Alacak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Hukuk/Ticaret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(Alacaklı)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(Borçlu) : [Ad Soyad/Unvan] — T.C. No/Vergi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(faiz hariç)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Alacağın tahsili.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arasındaki [İLİŞKİ: satış/hizmet/ödünç/kira sözleşmesi veya ...] uyarınca davalı; [ALACAĞIN KAYNAĞI: teslim edilen malların bedeli / ifa edilen hizmetin ücreti / verilen ödünç para] karşılığı davacıya [TUTAR] TL borçlanmıştır.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[BELGELER: [TARİH] tarihli sözleşme / [FATURA NO] sayılı fatura / senet / banka dekontu] ekte sunulmuştur.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Davalı, [İHTAR TARİHİ] tarihli ihtarnameye rağmen borcunu ödememiş; temerrüde düşmüştür.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[Ticari dava ise: Arabuluculuk son tutanağı ekte sunulmuştur.]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89, 90, 117 ve ilgili maddeler; 6100 sayılı HMK.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Sözleşme, fatura, dekontlar, ihtarname, ticari defterler,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Davalının [TUTAR] TL borcunun, temerrüt faiziyle birlikte DAVALIDAN TAHSİLİNE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