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ALACAK DAVASı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Alacak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ALACAK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Asliye Hukuk/Ticaret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(Alacaklı) : [Ad Soyad/Unvan] — T.C. No/Vergi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(Borçlu) : [Ad Soyad/Unvan] — T.C. No/Vergi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DEĞERİ : [TUTAR] TL (faiz hariç)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Alacağın tahsili.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arasındaki [İLİŞKİ: satış/hizmet/ödünç/kira sözleşmesi veya ...] uyarınca davalı; [ALACAĞIN KAYNAĞI: teslim edilen malların bedeli / ifa edilen hizmetin ücreti / verilen ödünç para] karşılığı davacıya [TUTAR] TL borçlanmıştır.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[BELGELER: [TARİH] tarihli sözleşme / [FATURA NO] sayılı fatura / senet / banka dekontu] ekte sunulmuştur.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Davalı, [İHTAR TARİHİ] tarihli ihtarnameye rağmen borcunu ödememiş; temerrüde düşmüştür.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[Ticari dava ise: Arabuluculuk son tutanağı ekte sunulmuştur.]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TBK madde 89, 90, 117 ve ilgili maddeler; 6100 sayılı HMK.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Sözleşme, fatura, dekontlar, ihtarname, ticari defterler, tanık, bilirkişi.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Davalının [TUTAR] TL borcunun, temerrüt faiziyle birlikte DAVALIDAN TAHSİLİNE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