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ADLI YARDıM TALEP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Adli Yardım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ADLİ YARDIM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[MAHKEME ADI]'ne,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 EDEN (Davacı)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[Varsa: DAVA DOSYASI : [ESAS NO]]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6100 sayılı HMK'nın 334. maddesi uyarınca ADLİ YARDIM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[AÇILACAK/AÇILAN DAVA: davanın konusu ve özeti] nedeniyle mahkemenize başvuruyorum.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Gelir ve malvarlığım; [GELİR DURUMU: örn. herhangi bir düzenli gelirim bulunmamaktadır / aylık gelirim [TUTAR] TL olup ...] şeklindedir (belgeler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Hanemde [KİŞİ] kişi yaşamakta olup aylık giderlerimiz [TUTAR] TL'dir.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Yargılama harç ve giderlerini ödemem; kendimin ve ailemin geçimini önemli ölçüde zor duruma düşürecektir.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Yargılama giderlerinden geçici olarak muaf tutulmak üzere ADLİ YARDIM kararı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Gelir ve malvarlığı beyanı, [varsa] muhtarlık yazısı, aile nüfus kaydı.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