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ADLI YARDıM TALEP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Adli Yardım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ADLİ YARDIM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[MAHKEME ADI]'ne,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 (Davacı)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DAVA DOSYASI : [ESAS NO]]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6100 sayılı HMK'nın 334. maddesi uyarınca ADLİ YARDIM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[AÇILACAK/AÇILAN DAVA: davanın konusu ve özeti] nedeniyle mahkemenize başvuruyorum.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Gelir ve malvarlığım; [GELİR DURUMU: örn. herhangi bir düzenli gelirim bulunmamaktadır / aylık gelirim [TUTAR] TL olup ...] şeklindedir (belgeler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Hanemde [KİŞİ] kişi yaşamakta olup aylık giderlerimiz [TUTAR] TL'dir.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Yargılama harç ve giderlerini ödemem; kendimin ve ailemin geçimini önemli ölçüde zor duruma düşürecektir.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Yargılama giderlerinden geçici olarak muaf tutulmak üzere ADLİ YARDIM kararı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Gelir ve malvarlığı beyanı, [varsa] muhtarlık yazısı, aile nüfus kaydı.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